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NW_30995 (Nordrhein-Westfalen) — Inkrafttreten</w:t>
      </w:r>
    </w:p>
    <w:p>
      <w:r>
        <w:rPr>
          <w:color w:val="555555"/>
          <w:sz w:val="18"/>
        </w:rPr>
        <w:t xml:space="preserve">Schul- und Studienfonds-Auflösungsgesetz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Justizminister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t xml:space="preserve">zugleich für den Minister</w:t>
      </w:r>
    </w:p>
    <w:p>
      <w:r>
        <w:t xml:space="preserve">für Arbeit, Integration und Soziales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t xml:space="preserve">zugleich für die Ministerin</w:t>
      </w:r>
    </w:p>
    <w:p>
      <w:r>
        <w:t xml:space="preserve">für Schule und Weiterbildung</w:t>
      </w:r>
    </w:p>
    <w:p>
      <w:r>
        <w:t xml:space="preserve">und den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rPr>
          <w:color w:val="555555"/>
          <w:sz w:val="17"/>
        </w:rPr>
        <w:t xml:space="preserve">Zitiervorschlag: § 5 NW_30995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