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NW_30995 (Nordrhein-Westfalen) — Verwaltung des Grundvermögens</w:t>
      </w:r>
    </w:p>
    <w:p>
      <w:r>
        <w:rPr>
          <w:color w:val="555555"/>
          <w:sz w:val="18"/>
        </w:rPr>
        <w:t xml:space="preserve">Schul- und Studienfonds-Auflösungsgesetz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der Vereinbarung über die Zuordnung des Vermögens des Bergischen Schulfonds und des Gymnasialfonds Münstereifel zwischen dem Land Nordrhein-Westfalen und dem Erzbistum Köln und der Vereinbarung über die Zuordnung des Vermögens des Münster’scher Studienfonds und des Beckum-Ahlen’scher Klosterfonds zwischen dem Land Nordrhein-Westfalen und dem Bistum Münster dem Land zugeordneten Grundstücke werden als Sonderliegenschaften des Landes Nordrhein-Westfalen qualifiziert und unterliegen der Verantwortung des Finanzministeriums. Die daraus resultierenden Aufgaben kann das Finanzministerium gegen Entgelt auf den Bau- und Liegenschaftsbetrieb NRW, auf den Landesbetrieb Wald und Holz NRW oder auf die Bezirksregierungen übertragen.</w:t>
      </w:r>
    </w:p>
    <w:p>
      <w:r>
        <w:rPr>
          <w:color w:val="555555"/>
          <w:sz w:val="17"/>
        </w:rPr>
        <w:t xml:space="preserve">Zitiervorschlag: § 3 NW_30995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