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NW_30995 (Nordrhein-Westfalen) — Auflösung von Schul- und Studienfonds</w:t>
      </w:r>
    </w:p>
    <w:p>
      <w:r>
        <w:rPr>
          <w:color w:val="555555"/>
          <w:sz w:val="18"/>
        </w:rPr>
        <w:t xml:space="preserve">Schul- und Studienfonds-Auflösungsgesetz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Bergische Schulfonds, der Gymnasialfonds Münstereifel, der Münster’sche Studienfonds und der Beckum-Ahlen’sche Klosterfonds sind als Sondervermögen ohne eigene Rechtspersönlichkeit aufgelöst.</w:t>
      </w:r>
    </w:p>
    <w:p>
      <w:r>
        <w:t xml:space="preserve">(2) Die Zweckbindung des Vermögens der in Absatz 1 genannten Fonds ist aufgehoben.</w:t>
      </w:r>
    </w:p>
    <w:p>
      <w:r>
        <w:t xml:space="preserve">(3) Der Paderborner Studienfonds wird als Sondervermögen ohne eigene Rechtspersönlichkeit aufgelöst. Die Zweckbindung des Fondsvermögens wird aufgehoben.</w:t>
      </w:r>
    </w:p>
    <w:p>
      <w:r>
        <w:rPr>
          <w:color w:val="555555"/>
          <w:sz w:val="17"/>
        </w:rPr>
        <w:t xml:space="preserve">Zitiervorschlag: § 1 NW_30995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https://recht.nulegal.eu/gesetze/NW_30995/1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