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NW_30972 (Nordrhein-Westfalen) — Auflösung der Stiftung</w:t>
      </w:r>
    </w:p>
    <w:p>
      <w:r>
        <w:rPr>
          <w:color w:val="555555"/>
          <w:sz w:val="18"/>
        </w:rPr>
        <w:t xml:space="preserve">Gesetz zur Errichtung einer Stiftung „Deutsche Zentralbibliothek für Medizin“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Auflösung der Stiftung ist nur durch Gesetz möglich. Für den Fall der Auflösung der Stiftung werden die nach § 11 dieses Gesetzes übergeleiteten Arbeitnehmerinnen und Arbeitnehmer auf Antrag wieder in den Dienst des Landes Nordrhein-Westfalen übernommen.</w:t>
      </w:r>
    </w:p>
    <w:p>
      <w:r>
        <w:t xml:space="preserve">(2) Bei Auflösung der Stiftung fällt das Stiftungsvermögen an das Land Nordrhein-Westfalen, das es unmittelbar und ausschließlich für wissenschaftliche Zwecke zu verwenden hat.</w:t>
      </w:r>
    </w:p>
    <w:p>
      <w:r>
        <w:rPr>
          <w:color w:val="555555"/>
          <w:sz w:val="17"/>
        </w:rPr>
        <w:t xml:space="preserve">Zitiervorschlag: § 13 NW_30972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https://recht.nulegal.eu/gesetze/NW_30972/13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