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NW_30922 (Nordrhein-Westfalen) — Inkrafttreten, Außerkrafttreten, Übergangsvorschriften, Berichtspflicht</w:t>
      </w:r>
    </w:p>
    <w:p>
      <w:r>
        <w:rPr>
          <w:color w:val="555555"/>
          <w:sz w:val="18"/>
        </w:rPr>
        <w:t xml:space="preserve">MindestgrößenVO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 Die Schulträger fassen die erforderlichen schulorganisatorischen Beschlüsse mit Wirkung spätestens zum Schuljahr 2023/2024.</w:t>
      </w:r>
    </w:p>
    <w:p>
      <w:r>
        <w:t xml:space="preserve">(2) Mit dem Inkrafttreten dieser Verordnung tritt die Sechste Verordnung zur Ausführung des Schulverwaltungsgesetzes vom 17. Oktober 1978 (GV. NRW. S. 548) außer Kraft.</w:t>
      </w:r>
    </w:p>
    <w:p>
      <w:r>
        <w:t xml:space="preserve">(3) Wird eine Förderschule dadurch aufgelöst, dass sie jahrgangsweise abgebaut wird, kann der Schulträger Klassen dieser Schule auch an eine allgemeine Schule verlagern und dort auslaufend fortführen.</w:t>
      </w:r>
    </w:p>
    <w:p>
      <w:r>
        <w:t xml:space="preserve">(4) Das Ministerium überprüft die Auswirkungen dieser Verordnung und unterrichtet das Kabinett bis spätestens zum Ablauf des 31. Dezember 2023 über das Ergebnis.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NW_30922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