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NW_30912 (Nordrhein-Westfalen) — Überwachung der Einleitungen von Abwasser aus Entlastungsbauwerken</w:t>
      </w:r>
    </w:p>
    <w:p>
      <w:r>
        <w:rPr>
          <w:color w:val="555555"/>
          <w:sz w:val="18"/>
        </w:rPr>
        <w:t xml:space="preserve">Verordnung zur Selbstüberwachung von Abwasseranlagen - Selbstüberwachungsverordnung Abwasser – SüwVO Abw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Abwassereinleitungen gemäß § 1 Absatz 1 Nummer 2, die in der Anweisung zur Selbstüberwachung festzulegen sind, sind grundsätzlich bei Regenüberlaufbecken und Stauraumkanälen eines Kanalisationsnetzes sowie bei bedeutenden Regenklärbecken, zur Überwachung kontinuierlich aufzeichnende Wasserstandsmessgeräte einzubauen. Durch geeignete Auswertungen der Füllstände und Benutzungszeiten sind Überlaufmengen, -dauer und -häufigkeit und bei Bedarf die zur Abwasserbehandlungsanlage weitergeleiteten Abwassermengen zu ermitteln.</w:t>
      </w:r>
    </w:p>
    <w:p>
      <w:r>
        <w:t xml:space="preserve">Für die übrigen Einleitungen sind in der Anweisung zur Selbstüberwachung gemäß § 4 ausreichende Maßnahmen festzulegen, die eine unzulässige Belastung der Gewässer erkennen lassen (zum Beispiel durch Inaugenscheinnahme).</w:t>
      </w:r>
    </w:p>
    <w:p>
      <w:r>
        <w:rPr>
          <w:color w:val="555555"/>
          <w:sz w:val="17"/>
        </w:rPr>
        <w:t xml:space="preserve">Zitiervorschlag: § 3 NW_30912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