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NW_30912 (Nordrhein-Westfalen) — Anforderungen an Sachkundige</w:t>
      </w:r>
    </w:p>
    <w:p>
      <w:r>
        <w:rPr>
          <w:color w:val="555555"/>
          <w:sz w:val="18"/>
        </w:rPr>
        <w:t xml:space="preserve">Verordnung zur Selbstüberwachung von Abwasseranlagen - Selbstüberwachungsverordnung Abwasser – SüwVO Abw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Sachkundige für die Prüfung des Zustands und der Funktionsfähigkeit können sein:</w:t>
      </w:r>
    </w:p>
    <w:p>
      <w:r>
        <w:t xml:space="preserve">1. Öffentlich bestellte und vereidigte Sachverständige einschlägiger Fachrichtungen,</w:t>
      </w:r>
    </w:p>
    <w:p>
      <w:r>
        <w:t xml:space="preserve">2. Ingenieure einer einschlägigen technischen Fachrichtung (zum Beispiel Bauingenieurwesen) mit einer einschlägigen mindestens dreijährigen Berufspraxis,</w:t>
      </w:r>
    </w:p>
    <w:p>
      <w:r>
        <w:t xml:space="preserve">3. Meister im Straßenbauer-, Maurer- und Betonbauer- (Bezug zum Kanalisationsbau), Installateur- und Heizungsbauer -oder Brunnenbauer-Handwerk, Meister für Rohr-, Kanal- und Industrieservice und Personen mit einem gleichwertigen Berufsabschluss in der entsprechenden Fachrichtung,</w:t>
      </w:r>
    </w:p>
    <w:p>
      <w:r>
        <w:t xml:space="preserve">4. Personen mit einer Ausnahmebewilligung nach §§ 8, 9 Handwerksordnung oder Ausübungsberechtigung nach §§ 7a, 7b Handwerksordnung in der entsprechenden Fachrichtung, und</w:t>
      </w:r>
    </w:p>
    <w:p>
      <w:r>
        <w:t xml:space="preserve">5. Personen mit abgeschlossener einschlägig handwerklicher oder gewerblich technischer Ausbildung und mindestens zweijähriger Berufserfahrung in der Fachrichtung, in der sie tätig sein werden, insbesondere</w:t>
      </w:r>
    </w:p>
    <w:p>
      <w:r>
        <w:t xml:space="preserve">a) Tiefbaufacharbeiter im Schwerpunkt Rohrleitungs- oder Kanalbau,</w:t>
      </w:r>
    </w:p>
    <w:p>
      <w:r>
        <w:t xml:space="preserve">b) Rohrleitungs- oder Kanalbauer,</w:t>
      </w:r>
    </w:p>
    <w:p>
      <w:r>
        <w:t xml:space="preserve">c) Fachkräfte für Abwassertechnik,</w:t>
      </w:r>
    </w:p>
    <w:p>
      <w:r>
        <w:t xml:space="preserve">d) Fachkräfte für Rohr-, Kanal- und Industrieservice.</w:t>
      </w:r>
    </w:p>
    <w:p>
      <w:r>
        <w:t xml:space="preserve">(2) Sachkundige müssen durch Teilnahme an einer Schulung einer Schulungsinstitution gemäß Absatz 3 die Erlangung der besonderen Kenntnisse für die Durchführung von Prüfungen des Zustands und der Funktionsfähigkeit nachweisen. Die Schulung muss den Sachkundigen Mindestkenntnisse entsprechend Anlage 3 vermitteln. Die Anforderungen an die Prüfung ergeben sich aus den Anlagen 4 und 5.</w:t>
      </w:r>
    </w:p>
    <w:p>
      <w:r>
        <w:t xml:space="preserve">(3) Die zuständige Behörde führt eine Liste der Schulungsinstitutionen, die die in Absatz 2 genannten Voraussetzungen erfüllen. Der Eintrag in diese Liste erfolgt nach Überprüfung des vorgelegten Schulungskonzeptes, wenn dargelegt wird, dass die Schulungsinhalte mindestens die Kenntnisse gemäß Anlage 3 vermitteln. Entsprechen die Schulungsinhalte diesen Anforderungen nicht, ist die Schulungsinstitution aus der Liste zu streichen. Die zuständige Behörde informiert die gemäß § 12 Absatz 1 zuständigen Kammern über die landesweite Liste der Schulungsinstitute.</w:t>
      </w:r>
    </w:p>
    <w:p>
      <w:r>
        <w:t xml:space="preserve">(4) Anerkannte Sachkundige müssen mindestens alle drei Jahre an einer geeigneten, mindestens zweitägigen Fortbildung einer Schulungsinstitution gemäß Absatz 3 teilnehmen. Die Teilnahmebescheinigung ist der nach § 12 Absatz 1 zuständigen Stelle unverzüglich vorzulegen.</w:t>
      </w:r>
    </w:p>
    <w:p>
      <w:r>
        <w:t xml:space="preserve">Kapitel 3</w:t>
      </w:r>
    </w:p>
    <w:p>
      <w:r>
        <w:t xml:space="preserve">Ordnungswidrigkeiten</w:t>
      </w:r>
    </w:p>
    <w:p>
      <w:r>
        <w:rPr>
          <w:color w:val="555555"/>
          <w:sz w:val="17"/>
        </w:rPr>
        <w:t xml:space="preserve">Zitiervorschlag: § 13 NW_30912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https://recht.nulegal.eu/gesetze/NW_30912/13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