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NW_30912 (Nordrhein-Westfalen) — Sanierungsnotwendigkeit und Zeitpunkt</w:t>
      </w:r>
    </w:p>
    <w:p>
      <w:r>
        <w:rPr>
          <w:color w:val="555555"/>
          <w:sz w:val="18"/>
        </w:rPr>
        <w:t xml:space="preserve">Verordnung zur Selbstüberwachung von Abwasseranlagen - Selbstüberwachungsverordnung Abwasser – SüwVO Abw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Grundstückseigentümerinnen und Grundstückseigentümer haben große Schäden an Abwasserleitungen kurzfristig zu sanieren oder sanieren zu lassen. Mittelgroße Schäden sind in einem Zeitraum von zehn Jahren zu sanieren. Bei Bagatellschäden ist eine Sanierung in der Regel vor der Wiederholungsprüfung nach § 8 Absatz 8 nicht erforderlich. § 8 Absatz 6 gilt entsprechend.</w:t>
      </w:r>
    </w:p>
    <w:p>
      <w:r>
        <w:t xml:space="preserve">(2) Über mögliche Abweichungen von den Sanierungsfristen kann die Gemeinde nach pflichtgemäßem Ermessen im Einzelfall entscheiden. § 60 Absatz 1 und 2 des Wasserhaushaltsgesetzes vom 31. Juli 2009 (BGBl. I S. 2585) in der jeweils geltenden Fassung sind zu beachten.</w:t>
      </w:r>
    </w:p>
    <w:p>
      <w:r>
        <w:rPr>
          <w:color w:val="555555"/>
          <w:sz w:val="17"/>
        </w:rPr>
        <w:t xml:space="preserve">Zitiervorschlag: § 10 NW_30912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https://recht.nulegal.eu/gesetze/NW_30912/10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