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Spätestens fünf Monate vor der Wahl macht der Vorstand der Kammer öffentlich bekannt</w:t>
      </w:r>
    </w:p>
    <w:p>
      <w:r>
        <w:t xml:space="preserve">1. den Wahltag,</w:t>
      </w:r>
    </w:p>
    <w:p>
      <w:r>
        <w:t xml:space="preserve">2. Name und Anschrift der Hauptwahlleiterin oder des Hauptwahlleiters und der übrigen Wahlleiterinnen oder Wahlleiter sowie deren Stellvertreterinnen oder Stellvertreter und</w:t>
      </w:r>
    </w:p>
    <w:p>
      <w:r>
        <w:t xml:space="preserve">3. Zeit und Ort der Auslegung der Wählerverzeichnisse.</w:t>
      </w:r>
    </w:p>
    <w:p>
      <w:r>
        <w:rPr>
          <w:color w:val="555555"/>
          <w:sz w:val="17"/>
        </w:rPr>
        <w:t xml:space="preserve">Zitiervorschlag: § 8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