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Wahlberechtigt zur Kammerversammlung sind alle Kammerangehörigen außer denjenigen, die nach § 12 Heilberufsgesetz das Wahlrecht nicht besitzen.</w:t>
      </w:r>
    </w:p>
    <w:p>
      <w:r>
        <w:t xml:space="preserve">(2) Die Ausübung des Wahlrechts setzt die Eintragung in das Wählerverzeichnis voraus. Die Eintragung in das Wählerverzeichnis erfolgt in dem Wahlkreis, in dem die Berufsangehörigen ihren Beruf ausüben oder wohnen, soweit sie nicht beruflich tätig sind. Bei einer Berufsausübung an mehreren Orten erfolgt die Eintragung in das Wählerverzeichnis des Wahlkreises, für den die Kammerangehörigen die Haupttätigkeit der Kammer angezeigt haben. Unterbleibt eine Anzeige, erfolgt die Zuordnung durch die Kammer nach Maßgabe der der Kammer gemeldeten Daten.</w:t>
      </w:r>
    </w:p>
    <w:p>
      <w:r>
        <w:t xml:space="preserve">(3) Freiwillige Kammerangehörige gemäß § 2 Absatz 2 Satz 2 Heilberufsgesetz, die wahlberechtigt sind, werden in das Wählerverzeichnis des Wahlkreises eingetragen, in dem sie vor Verlegung ihrer heilberuflichen Tätigkeit ins Ausland ihren Beruf ausgeübt haben oder im Falle der Nichtausübung ihren Wohnsitz hatten.</w:t>
      </w:r>
    </w:p>
    <w:p>
      <w:r>
        <w:t xml:space="preserve">(4) Die Wahlberechtigten haben eine Stimme; sie können ihr Wahlrecht nur persönlich ausüben.</w:t>
      </w:r>
    </w:p>
    <w:p>
      <w:r>
        <w:rPr>
          <w:color w:val="555555"/>
          <w:sz w:val="17"/>
        </w:rPr>
        <w:t xml:space="preserve">Zitiervorschlag: § 4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