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NW_30907 (Nordrhein-Westfalen)</w:t>
      </w:r>
    </w:p>
    <w:p>
      <w:r>
        <w:rPr>
          <w:color w:val="555555"/>
          <w:sz w:val="18"/>
        </w:rPr>
        <w:t xml:space="preserve">Wahlordnung für die Wahl zu den Kammerversammlungen der Heilberufskammern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Wahlordnung tritt am Tag nach der Verkündung in Kraft. Gleichzeitig tritt die Wahlordnung für die Wahl zu den Kammerversammlungen der Heilberufskammern vom 14. Dezember 1988 (GV. NRW. S. 498, ber. 1989 S. 48) außer Kraft.</w:t>
      </w:r>
    </w:p>
    <w:p>
      <w:r>
        <w:t xml:space="preserve">Die Ministerin</w:t>
      </w:r>
    </w:p>
    <w:p>
      <w:r>
        <w:t xml:space="preserve">für Gesundheit, Emanzipation, Pflege und Alter</w:t>
      </w:r>
    </w:p>
    <w:p>
      <w:r>
        <w:t xml:space="preserve">des Landes Nordrhein-Westfalen</w:t>
      </w:r>
    </w:p>
    <w:p>
      <w:r>
        <w:t xml:space="preserve">Der Minister</w:t>
      </w:r>
    </w:p>
    <w:p>
      <w:r>
        <w:t xml:space="preserve">für Klimaschutz, Umwelt, Landwirtschaft,</w:t>
      </w:r>
    </w:p>
    <w:p>
      <w:r>
        <w:t xml:space="preserve">Natur- und Verbraucherschutz</w:t>
      </w:r>
    </w:p>
    <w:p>
      <w:r>
        <w:t xml:space="preserve">des Landes Nordrhein-Westfalen</w:t>
      </w:r>
    </w:p>
    <w:p>
      <w:r>
        <w:rPr>
          <w:color w:val="555555"/>
          <w:sz w:val="17"/>
        </w:rPr>
        <w:t xml:space="preserve">Zitiervorschlag: § 31 NW_30907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https://recht.nulegal.eu/gesetze/NW_30907/31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