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NW_30907 (Nordrhein-Westfalen)</w:t>
      </w:r>
    </w:p>
    <w:p>
      <w:r>
        <w:rPr>
          <w:color w:val="555555"/>
          <w:sz w:val="18"/>
        </w:rPr>
        <w:t xml:space="preserve">Wahlordnung für die Wahl zu den Kammerversammlungen der Heilberufskammern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 Mitglied der Kammerversammlung verliert seinen Sitz bei</w:t>
      </w:r>
    </w:p>
    <w:p>
      <w:r>
        <w:t xml:space="preserve">1. Ungültigkeit des Erwerbs der Mitgliedschaft,</w:t>
      </w:r>
    </w:p>
    <w:p>
      <w:r>
        <w:t xml:space="preserve">2. Verzicht oder</w:t>
      </w:r>
    </w:p>
    <w:p>
      <w:r>
        <w:t xml:space="preserve">3. Wegfall seiner Wählbarkeit.</w:t>
      </w:r>
    </w:p>
    <w:p>
      <w:r>
        <w:t xml:space="preserve">Der Verzicht ist nur wirksam, wenn er dem Vorstand schriftlich erklärt wird; er kann nicht widerrufen werden.</w:t>
      </w:r>
    </w:p>
    <w:p>
      <w:r>
        <w:t xml:space="preserve">(2) Über den Verlust der Mitgliedschaft wird entschieden</w:t>
      </w:r>
    </w:p>
    <w:p>
      <w:r>
        <w:t xml:space="preserve">1. im Falle des Absatzes 1 Nummer 1 im Wahlprüfungsverfahren und</w:t>
      </w:r>
    </w:p>
    <w:p>
      <w:r>
        <w:t xml:space="preserve">2. im Falle des Absatzes 1 Nummer 3 durch den Vorstand der Kammer.</w:t>
      </w:r>
    </w:p>
    <w:p>
      <w:r>
        <w:t xml:space="preserve">Das Mitglied scheidet aus der Kammerversammlung mit der Rechtskraft der Entscheidung aus, beim Verzicht mit dem Eingang der Erklärung beim Vorstand.</w:t>
      </w:r>
    </w:p>
    <w:p>
      <w:r>
        <w:t xml:space="preserve">(3) § 21 Absatz 9 gilt entsprechend.</w:t>
      </w:r>
    </w:p>
    <w:p>
      <w:r>
        <w:rPr>
          <w:color w:val="555555"/>
          <w:sz w:val="17"/>
        </w:rPr>
        <w:t xml:space="preserve">Zitiervorschlag: § 23 NW_30907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https://recht.nulegal.eu/gesetze/NW_30907/23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