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Wahlausschuss stellt fest, wie viele Sitze auf die einzelnen Wahlvorschläge entfallen und welche Bewerberinnen und Bewerber gewählt sind.</w:t>
      </w:r>
    </w:p>
    <w:p>
      <w:r>
        <w:t xml:space="preserve">(2) Von der im Wahlkreis zu vergebenden Zahl der Sitze erhalten die einzelnen Wahlvorschläge so viele Sitze zugeteilt, wie ihnen im Verhältnis der auf sie entfallenden Stimmenzahlen im Höchstzahlverfahren d'Hondt zustehen (erste Zuteilungszahl). Über die Zuteilung des letzten Sitzes entscheidet bei gleicher Höchstzahl das von der Wahlleiterin oder vom Wahlleiter zu ziehende Los.</w:t>
      </w:r>
    </w:p>
    <w:p>
      <w:r>
        <w:t xml:space="preserve">(3) Da ein Einzelwahlvorschlag nur einen Sitz erhalten kann, bleiben weitere sich aus den Stimmen zum Einzelwahlvorschlag ergebende rechnerische Sitzansprüche bei der Sitzverteilung nach Absatz 2 unberücksichtigt. In diesem Falle findet eine neue Berechnung nach Absatz 2 unter den verbleibenden Wahlvorschlägen statt.</w:t>
      </w:r>
    </w:p>
    <w:p>
      <w:r>
        <w:t xml:space="preserve">(4) Ergibt die Berechnung nach den Absätzen 1 und 2 mehr Sitze für einen Listenwahlvorschlag als Bewerberinnen und Bewerber auf ihm vorhanden sind, so bleiben die übrigen Sitze bis zum Ablauf der Wahlperiode unbesetzt.</w:t>
      </w:r>
    </w:p>
    <w:p>
      <w:r>
        <w:t xml:space="preserve">(5) Die auf einen Listenwahlvorschlag entfallenden Sitze werden mit den Bewerberinnen und Bewerbern des Wahlvorschlags in der Reihenfolge ihrer Benennung besetzt.</w:t>
      </w:r>
    </w:p>
    <w:p>
      <w:r>
        <w:t xml:space="preserve">(6) Bei Durchführung der relativen Mehrheitswahl sind diejenigen Bewerberinnen und Bewerber gewählt, die die meisten Stimmen erhalten haben. Bei Stimmengleichheit entscheidet das von der Wahlleiterin oder vom Wahlleiter zu ziehende Los. Die nicht zu Mitgliedern der Kammerversammlung gewählten Bewerberinnen und Bewerber sind Ersatzmitglieder in der Reihenfolge der Zahl der auf sie entfallenen Stimmen.</w:t>
      </w:r>
    </w:p>
    <w:p>
      <w:r>
        <w:t xml:space="preserve">(7) Die Wahlleiterin oder der Wahlleiter übersendet die Niederschrift über das Wahlergebnis mit sämtlichen Unterlagen dem Hauptwahlausschuss.</w:t>
      </w:r>
    </w:p>
    <w:p>
      <w:r>
        <w:t xml:space="preserve">(8) Der Hauptwahlausschuss stellt anhand der von den Wahlausschüssen übersandten Unterlagen das Wahlergebnis für den Kammerbereich fest und teilt es dem Kammervorstand mit. Er ist dabei an die vom Wahlausschuss getroffenen Entscheidungen gebunden, jedoch berechtigt, Rechenfehler zu berichtigen.</w:t>
      </w:r>
    </w:p>
    <w:p>
      <w:r>
        <w:t xml:space="preserve">(9) Die Hauptwahlleiterin oder der Hauptwahlleiter hat das Wahlergebnis unverzüglich öffentlich bekanntzugeben und der Aufsichtsbehörde mitzuteilen.</w:t>
      </w:r>
    </w:p>
    <w:p>
      <w:r>
        <w:rPr>
          <w:color w:val="555555"/>
          <w:sz w:val="17"/>
        </w:rPr>
        <w:t xml:space="preserve">Zitiervorschlag: § 21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