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NW_30907 (Nordrhein-Westfalen)</w:t>
      </w:r>
    </w:p>
    <w:p>
      <w:r>
        <w:rPr>
          <w:color w:val="555555"/>
          <w:sz w:val="18"/>
        </w:rPr>
        <w:t xml:space="preserve">Wahlordnung für die Wahl zu den Kammerversammlungen der Heilberufskammern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Stimme ist ungültig, wenn</w:t>
      </w:r>
    </w:p>
    <w:p>
      <w:r>
        <w:t xml:space="preserve">1. der Stimmzettel oder der Wahlumschlag nicht von der Wahlleiterin oder vom Wahlleiter stammen,</w:t>
      </w:r>
    </w:p>
    <w:p>
      <w:r>
        <w:t xml:space="preserve">2. dem Wahlbriefumschlag kein Wahlumschlag beigefügt ist,</w:t>
      </w:r>
    </w:p>
    <w:p>
      <w:r>
        <w:t xml:space="preserve">3. weder der Wahlbriefumschlag noch der Wahlumschlag verschlossen ist,</w:t>
      </w:r>
    </w:p>
    <w:p>
      <w:r>
        <w:t xml:space="preserve">4. der Wille der Wählerin oder des Wählers nicht zweifelsfrei erkennbar ist,</w:t>
      </w:r>
    </w:p>
    <w:p>
      <w:r>
        <w:t xml:space="preserve">5. der Stimmzettel einen Zusatz oder einen Vorbehalt enthält,</w:t>
      </w:r>
    </w:p>
    <w:p>
      <w:r>
        <w:t xml:space="preserve">6. bei Listenwahl mehr als eine Liste gekennzeichnet ist oder</w:t>
      </w:r>
    </w:p>
    <w:p>
      <w:r>
        <w:t xml:space="preserve">7. bei Durchführung der relativen Mehrheitswahl mehr Bewerberinnen und Bewerber gekennzeichnet sind, als für diesen Wahlkreis zu wählen sind.</w:t>
      </w:r>
    </w:p>
    <w:p>
      <w:r>
        <w:t xml:space="preserve">(2) Die Stimmabgabe einer Wählerin oder eines Wählers wird nicht dadurch ungültig, dass sie oder er vor dem Wahltage stirbt, aus der Kammer ausscheidet oder das Wahlrecht verliert.</w:t>
      </w:r>
    </w:p>
    <w:p>
      <w:r>
        <w:rPr>
          <w:color w:val="555555"/>
          <w:sz w:val="17"/>
        </w:rPr>
        <w:t xml:space="preserve">Zitiervorschlag: § 20 NW_30907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https://recht.nulegal.eu/gesetze/NW_30907/20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