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Zahl der zu wählenden Mitglieder der Kammerversammlung stellt der Hauptwahlausschuss fest.</w:t>
      </w:r>
    </w:p>
    <w:p>
      <w:r>
        <w:t xml:space="preserve">(2) Die Zahl der in jedem Wahlkreis zu wählenden Bewerberinnen und Bewerber wird bei Abschluss des Wählerverzeichnisses von der Hauptwahlleiterin oder dem Hauptwahlleiter festgestellt.</w:t>
      </w:r>
    </w:p>
    <w:p>
      <w:r>
        <w:rPr>
          <w:color w:val="555555"/>
          <w:sz w:val="17"/>
        </w:rPr>
        <w:t xml:space="preserve">Zitiervorschlag: § 2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