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Wahlleiterin oder der Wahlleiter sammelt die eingegangenen Wahlbriefe ungeöffnet, hält sie unter Verschluss und übergibt sie nach Beendigung der Wahl dem Wahlausschuss.</w:t>
      </w:r>
    </w:p>
    <w:p>
      <w:r>
        <w:t xml:space="preserve">(2) Verspätet eingegangene Wahlbriefe bleiben unberücksichtigt. Sie werden von der Wahlleiterin oder vom Wahlleiter mit einem Vermerk über Tag und Uhrzeit des Eingangs versehen und ungeöffnet verpackt. Das Paket wird von ihr oder ihm versiegelt und verwahrt, bis die Vernichtung der Wahlbriefe zugelassen ist.</w:t>
      </w:r>
    </w:p>
    <w:p>
      <w:r>
        <w:rPr>
          <w:color w:val="555555"/>
          <w:sz w:val="17"/>
        </w:rPr>
        <w:t xml:space="preserve">Zitiervorschlag: § 18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