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NW_30873 (Nordrhein-Westfalen)</w:t>
      </w:r>
    </w:p>
    <w:p>
      <w:r>
        <w:rPr>
          <w:color w:val="555555"/>
          <w:sz w:val="18"/>
        </w:rPr>
        <w:t xml:space="preserve">KHSt-VO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1. September 2013 in Kraft. Gleichzeitig treten die Verordnung über die Bestimmung von Kreispolizeibehörden zu Kriminalhauptstellen vom 17. Dezember 2002 (GV. NRW. S. 639) und die gleichnamige Verordnung vom 26. November 2012 (GV. NRW. S. 615) außer Kraft.</w:t>
      </w:r>
    </w:p>
    <w:p>
      <w:r>
        <w:t xml:space="preserve">Der Minister</w:t>
      </w:r>
    </w:p>
    <w:p>
      <w:r>
        <w:t xml:space="preserve">für Inneres und Kommunales</w:t>
      </w:r>
    </w:p>
    <w:p>
      <w:r>
        <w:t xml:space="preserve">des Landes Nordrhein-Westfalen</w:t>
      </w:r>
    </w:p>
    <w:p>
      <w:r>
        <w:rPr>
          <w:color w:val="555555"/>
          <w:sz w:val="17"/>
        </w:rPr>
        <w:t xml:space="preserve">Zitiervorschlag: § 9 NW_30873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