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NW_30843 (Nordrhein-Westfalen)</w:t>
      </w:r>
    </w:p>
    <w:p>
      <w:r>
        <w:rPr>
          <w:color w:val="555555"/>
          <w:sz w:val="18"/>
        </w:rPr>
        <w:t xml:space="preserve">Verordnung zur Neuorganisation der Oberfinanzdirektionen in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30. Juni 2013 in Kraft. Gleichzeitig wird die Verordnung über die Aufgaben der Oberfinanzdirektion Münster und Rheinland gemäß § 8a des Finanzverwaltungsgesetzes vom 17. Juli 1998 (GV. NRW. S. 478) aufgehoben. Über die Erfahrungen mit dieser Verordnung ist der Landesregierung bis zum 31. Dezember 2023 zu berichten.</w:t>
      </w:r>
    </w:p>
    <w:p>
      <w:r>
        <w:t xml:space="preserve">Der Finanzminister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4 NW_30843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https://recht.nulegal.eu/gesetze/NW_30843/4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