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NW_30841 (Nordrhein-Westfalen) — Voraussetzungen der Gleichwertigkeit</w:t>
      </w:r>
    </w:p>
    <w:p>
      <w:r>
        <w:rPr>
          <w:color w:val="555555"/>
          <w:sz w:val="18"/>
        </w:rPr>
        <w:t xml:space="preserve">Gesetz zur Feststellung der Gleichwertigkeit ausländischer Berufsqualifikationen in Nordrhein-Westfalen (Berufsqualifikationsfeststellungsgesetz NRW – BQFG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Entscheidung über die Befugnis zur Aufnahme oder Ausübung eines in Nordrhein-Westfalen reglementierten Berufs gilt der im Ausland erworbene Ausbildungsnachweis, unter Berücksichtigung sonstiger nachgewiesener Berufsqualifikationen, als gleichwertig mit dem entsprechenden landesrechtlich geregelten Ausbildungsnachweis, sofern</w:t>
      </w:r>
    </w:p>
    <w:p>
      <w:r>
        <w:t xml:space="preserve">1. der im Ausland erworbene Ausbildungsnachweis die Befähigung zu vergleichbaren beruflichen Tätigkeiten wie der entsprechende landesrechtlich geregelte Ausbildungsnachweis belegt,</w:t>
      </w:r>
    </w:p>
    <w:p>
      <w:r>
        <w:t xml:space="preserve">2. die Antragstellerin oder der Antragsteller bei einem sowohl in Nordrhein-Westfalen als auch im Ausbildungsstaat reglementierten Beruf zur Ausübung des jeweiligen Berufs im Ausbildungsstaat berechtigt ist oder die Befugnis zur Aufnahme oder Ausübung des jeweiligen Berufs aus Gründen verwehrt wurde, die der Aufnahme oder Ausübung in Nordrhein-Westfalen nicht entgegenstehen und</w:t>
      </w:r>
    </w:p>
    <w:p>
      <w:r>
        <w:t xml:space="preserve">3. zwischen den nachgewiesenen Berufsqualifikationen und der entsprechenden landesrechtlich geregelten Berufsbildung keine wesentlichen Unterschiede bestehen.</w:t>
      </w:r>
    </w:p>
    <w:p>
      <w:r>
        <w:t xml:space="preserve">(2) Wesentliche Unterschiede zwischen den nachgewiesenen Berufsqualifikationen und der entsprechenden landesrechtlich geregelten Berufsbildung liegen vor, sofern</w:t>
      </w:r>
    </w:p>
    <w:p>
      <w:r>
        <w:t xml:space="preserve">1. sich der im Ausland erworbene Ausbildungsnachweis auf Fähigkeiten und Kenntnisse bezieht, die sich hinsichtlich des Inhalts oder auf Grund der Ausbildungsdauer wesentlich von den Fähigkeiten und Kenntnissen unterscheiden, auf die sich der entsprechende landesrechtlich geregelte Ausbildungsnachweis bezieht,</w:t>
      </w:r>
    </w:p>
    <w:p>
      <w:r>
        <w:t xml:space="preserve">2. die entsprechenden Fähigkeiten und Kenntnisse eine maßgebliche Voraussetzung für die Ausübung des jeweiligen Berufs darstellen und</w:t>
      </w:r>
    </w:p>
    <w:p>
      <w:r>
        <w:t xml:space="preserve">3. die Antragstellerin oder der Antragsteller diese Unterschiede nicht durch sonstige Befähigungsnachweise, nachgewiesene einschlägige Berufserfahrung oder sonstige nachgewiesene einschlägige Qualifikationen ausgeglichen hat.</w:t>
      </w:r>
    </w:p>
    <w:p>
      <w:r>
        <w:rPr>
          <w:color w:val="555555"/>
          <w:sz w:val="17"/>
        </w:rPr>
        <w:t xml:space="preserve">Zitiervorschlag: § 9 NW_30841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