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NW_30841 (Nordrhein-Westfalen) — Feststellung der Gleichwertigkeit</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stellt auf Antrag die Gleichwertigkeit fest, sofern</w:t>
      </w:r>
    </w:p>
    <w:p>
      <w:r>
        <w:t xml:space="preserve">1. der im Ausland erworbene Ausbildungsnachweis die Befähigung zu vergleichbaren beruflichen Tätigkeiten wie der entsprechende landesrechtlich geregelte Ausbildungsnachweis belegt und</w:t>
      </w:r>
    </w:p>
    <w:p>
      <w:r>
        <w:t xml:space="preserve">2. zwischen den nachgewiesenen Berufsqualifikationen und der entsprechenden landesrechtlich geregelten Berufsbildung keine wesentlichen Unterschiede bestehen.</w:t>
      </w:r>
    </w:p>
    <w:p>
      <w:r>
        <w:t xml:space="preserve">(2) Wesentliche Unterschiede zwischen den nachgewiesenen Berufsqualifikationen und der entsprechenden landesrechtlich geregelten Berufsbildung liegen vor, sofern</w:t>
      </w:r>
    </w:p>
    <w:p>
      <w:r>
        <w:t xml:space="preserve">1. sich der im Ausland erworbene Ausbildungsnachweis auf Fertigkeiten, Kenntnisse und Fähigkeiten bezieht, die sich hinsichtlich der vermittelten Inhalte oder auf Grund der Ausbildungsdauer wesentlich von den Fertigkeiten, Kenntnissen und Fähigkeiten unterscheiden, auf die sich der entsprechende landesrechtlich geregelte Ausbildungsnachweis bezieht,</w:t>
      </w:r>
    </w:p>
    <w:p>
      <w:r>
        <w:t xml:space="preserve">2. die nach Nummer 1 abweichenden Fertigkeiten, Kenntnisse und Fähigkeiten für die Ausübung des jeweiligen Berufs wesentlich sind und</w:t>
      </w:r>
    </w:p>
    <w:p>
      <w:r>
        <w:t xml:space="preserve">3. die Antragstellerin oder der Antragsteller diese Unterschiede nicht durch sonstige Befähigungsnachweise, nachgewiesene einschlägige Berufserfahrung oder sonstige nachgewiesene einschlägige Qualifikationen ausgeglichen hat.</w:t>
      </w:r>
    </w:p>
    <w:p>
      <w:r>
        <w:t xml:space="preserve">(3) In dem Umfang, in dem die zuständige Stelle eines anderen Bundeslandes die Gleichwertigkeit festgestellt hat, ist die Inhaberin oder der Inhaber dieser Berufsqualifikation so zu behandeln, als sei insoweit die landesrechtlich geregelte Berufsqualifikation in diesem Bundesland erworben worden.</w:t>
      </w:r>
    </w:p>
    <w:p>
      <w:r>
        <w:rPr>
          <w:color w:val="555555"/>
          <w:sz w:val="17"/>
        </w:rPr>
        <w:t xml:space="preserve">Zitiervorschlag: § 4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