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NW_30841 (Nordrhein-Westfalen) — Anwendungsbereich</w:t>
      </w:r>
    </w:p>
    <w:p>
      <w:r>
        <w:rPr>
          <w:color w:val="555555"/>
          <w:sz w:val="18"/>
        </w:rPr>
        <w:t xml:space="preserve">Gesetz zur Feststellung der Gleichwertigkeit ausländischer Berufsqualifikationen in Nordrhein-Westfalen (Berufsqualifikationsfeststellungsgesetz NRW – BQFG NRW)*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Verfahrensvorschriften dieses Gesetzes gelten auch für die bundesrechtlich geregelten Berufe des Gesundheitswesens, soweit die Gesetze des Bundes keine Regelungen treffen.</w:t>
      </w:r>
    </w:p>
    <w:p>
      <w:r>
        <w:t xml:space="preserve">(2) Die Regelungen zu Ausgleichsmaßnahmen nach den §§ 11 und 15 gelten für reglementierte und nicht reglementierte landesrechtlich geregelte Aus- und Weiterbildungen.</w:t>
      </w:r>
    </w:p>
    <w:p>
      <w:r>
        <w:rPr>
          <w:color w:val="555555"/>
          <w:sz w:val="17"/>
        </w:rPr>
        <w:t xml:space="preserve">Zitiervorschlag: § 14 NW_30841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https://recht.nulegal.eu/gesetze/NW_30841/14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