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NW_30841 (Nordrhein-Westfalen) — Verfahren, Verordnungsermächtigung</w:t>
      </w:r>
    </w:p>
    <w:p>
      <w:r>
        <w:rPr>
          <w:color w:val="555555"/>
          <w:sz w:val="18"/>
        </w:rPr>
        <w:t xml:space="preserve">Gesetz zur Feststellung der Gleichwertigkeit ausländischer Berufsqualifikationen in Nordrhein-Westfalen (Berufsqualifikationsfeststellungsgesetz NRW – BQFG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Bewertung der Gleichwertigkeit nach § 9 erfolgt im Rahmen der Entscheidung über die Befugnis zur Aufnahme oder Ausübung eines in Nordrhein-Westfalen reglementierten Berufs. Auf Antrag erteilt die zuständige Stelle der Antragstellerin oder dem Antragsteller einen gesonderten Bescheid über die Feststellung der Gleichwertigkeit ihrer oder seiner Berufsqualifikation oder entscheidet auf Antrag nur über die Gleichwertigkeit der Berufsqualifikation.</w:t>
      </w:r>
    </w:p>
    <w:p>
      <w:r>
        <w:t xml:space="preserve">(2) Die zuständige Stelle bestätigt der Antragstellerin oder dem Antragsteller innerhalb eines Monats den Eingang des Antrags einschließlich der nach § 12 Absatz 1 vorzulegenden Unterlagen. In der Empfangsbestätigung ist das Datum des Eingangs bei der zuständigen Stelle mitzuteilen und auf die Frist nach Absatz 3 und die Voraussetzungen für den Beginn des Fristlaufs hinzuweisen. Sind die nach § 12 Absatz 1 vorzulegenden Unterlagen unvollständig, teilt die zuständige Stelle innerhalb der Frist des Satzes 1 mit, welche Unterlagen nachzureichen sind. Die Mitteilung enthält den Hinweis, dass der Lauf der Frist nach Absatz 3 erst mit Eingang der vollständigen Unterlagen beginnt.</w:t>
      </w:r>
    </w:p>
    <w:p>
      <w:r>
        <w:t xml:space="preserve">(3) Die zuständige Stelle muss unverzüglich, spätestens jedoch nach drei Monaten, über die Gleichwertigkeit entscheiden. Die Frist beginnt mit Eingang der vollständigen Unterlagen. Sie kann einmal angemessen verlängert werden, wenn dies wegen der Besonderheiten der Angelegenheit gerechtfertigt ist. Für Antragstellerinnen oder Antragsteller, die ihren Ausbildungsnachweis in einem Mitgliedstaat der Europäischen Union oder einem Vertragsstaat des Abkommen über den Europäischen Wirtschaftsraum oder einem durch Abkommen gleichgestellten Staat erworben haben oder deren Ausbildungsnachweise in einem dieser genannten Staaten anerkannt wurde, kann die Fristverlängerung nach Satz 3 höchstens einen Monat betragen. Die Fristverlängerung ist zu begründen und rechtzeitig mitzuteilen.</w:t>
      </w:r>
    </w:p>
    <w:p>
      <w:r>
        <w:t xml:space="preserve">(4) Im Fall des § 12 Absatz 2 Satz 2, Absatz 4 und 5 Satz 1 ist der Lauf der Frist nach Absatz 3 bis zum Ablauf der von der zuständigen Stelle festgelegten Frist gehemmt. Im Fall des § 18 ist der Lauf der Frist nach Absatz 3 bis zur Beendigung des sonstigen geeigneten Verfahrens gehemmt.</w:t>
      </w:r>
    </w:p>
    <w:p>
      <w:r>
        <w:t xml:space="preserve">(5) Die Zuständigkeit richtet sich nach dem jeweiligen Fachrecht.</w:t>
      </w:r>
    </w:p>
    <w:p>
      <w:r>
        <w:t xml:space="preserve">(6) Das für das jeweilige Berufsrecht zuständige Ministerium wird ermächtigt, die Aufgaben durch Rechtsverordnung auf andere Stellen, die Aufgaben der öffentlichen Verwaltung wahrnehmen, zu übertragen.</w:t>
      </w:r>
    </w:p>
    <w:p>
      <w:r>
        <w:t xml:space="preserve">(7) Zuständige Stellen können vereinbaren, dass die ihnen durch dieses oder auf Grund dieses Gesetzes übertragenen Aufgaben von einer anderen zuständigen Stelle, deren Sitz auch in einem anderen Bundesland sein kann, wahrgenommen werden. Die Vereinbarung bedarf der Genehmigung des jeweils zuständigen Ministeriums.</w:t>
      </w:r>
    </w:p>
    <w:p>
      <w:r>
        <w:t xml:space="preserve">(8) Das Verfahren kann auch über einen Einheitlichen Ansprechpartner im Sinne der §§ 71a ff. des Verwaltungsverfahrensgesetzes NRW abgewickelt werden.</w:t>
      </w:r>
    </w:p>
    <w:p>
      <w:r>
        <w:rPr>
          <w:color w:val="555555"/>
          <w:sz w:val="17"/>
        </w:rPr>
        <w:t xml:space="preserve">Zitiervorschlag: § 13 NW_30841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