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NW_30780 (Nordrhein-Westfalen) — Kosten und Betrieb des Vollstreckungsportals</w:t>
      </w:r>
    </w:p>
    <w:p>
      <w:r>
        <w:rPr>
          <w:color w:val="555555"/>
          <w:sz w:val="18"/>
        </w:rPr>
        <w:t xml:space="preserve">Bekanntmachung des Staatsvertrages und einer Dienstleistungsvereinbarung zum Zwecke der Einrichtung und zum Betrieb eines bundesweiten Vollstreckungsportals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erstatten dem Land Nordrhein-Westfalen den ihm durch diesen Vertrag entstehenden Aufwand. Die Verteilung der Kosten richtet sich nach dem jeweils geltenden Königsteiner Schlüssel zum Stichtag der Abrechnung.</w:t>
      </w:r>
    </w:p>
    <w:p>
      <w:r>
        <w:t xml:space="preserve">(2) Die Einzelheiten über den Betrieb des gemeinsamen Vollstreckungsportals der Länder sowie die Höhe der Kosten werden in einer Dienstleistungsvereinbarung gesondert geregelt.</w:t>
      </w:r>
    </w:p>
    <w:p>
      <w:r>
        <w:rPr>
          <w:color w:val="555555"/>
          <w:sz w:val="17"/>
        </w:rPr>
        <w:t xml:space="preserve">Zitiervorschlag: § 7 NW_30780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https://recht.nulegal.eu/gesetze/NW_30780/7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