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NW_30759 (Nordrhein-Westfalen) — Anwendbare Vorschriften</w:t>
      </w:r>
    </w:p>
    <w:p>
      <w:r>
        <w:rPr>
          <w:color w:val="555555"/>
          <w:sz w:val="18"/>
        </w:rPr>
        <w:t xml:space="preserve">Bekanntmachung des Staatsvertrages zwischen dem Land Nordrhein-Westfalen und dem Freistaat Bayern über die Zugehörigkeit der Mitglieder der Patentanwaltskammer, die ihren Kanzleisitz in Nordrhein-Westfalen eingerichtet haben, zur Bayerischen Rechtsanwalts- und Steuerberaterversorgung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1Soweit dieser Staatsvertrag nichts anderes bestimmt, gelten die Artikel 1 bis 26, 28 bis 32 und 38 Abs. 2 des bayerischen Gesetzes über das öffentliche Versorgungswesen – VersoG – (GVBl S. 371; BayRS 763-1-I) und die Satzung der Bayerischen Rechtsanwalts- und Steuerberaterversorgung in den jeweils geltenden Fassungen in Nordrhein-Westfalen entsprechend. 2Für das Verwaltungsverfahren einschließlich des verwaltungsgerichtlichen Vorverfahrens ist das Recht des Sitzlandes des Versorgungswerkes entsprechend anzuwenden.</w:t>
      </w:r>
    </w:p>
    <w:p>
      <w:r>
        <w:t xml:space="preserve">(2) Soweit die Satzung des Versorgungswerks Rechtswirkungen an die Einrichtung eines Kanzleisitzes in Bayern bei Zugehörigkeit zur Patentanwaltskammer knüpft, ergeben sich die gleichen Rechtswirkungen für die in Artikel 1 genannten Mitglieder der Patentanwaltskammer aus der Einrichtung eines Kanzleisitzes in Nordrhein-Westfalen.</w:t>
      </w:r>
    </w:p>
    <w:p>
      <w:r>
        <w:t xml:space="preserve">(3) 1Das Versorgungswerk hat das Recht, die von ihm erlassenen Verwaltungsakte in Nordrhein-Westfalen zu vollstrecken. 2Das Verfahren richtet sich nach dem Verwaltungsvollstreckungsgesetz für das Land Nordrhein-Westfalen in der jeweils geltenden Fassung.</w:t>
      </w:r>
    </w:p>
    <w:p>
      <w:r>
        <w:rPr>
          <w:color w:val="555555"/>
          <w:sz w:val="17"/>
        </w:rPr>
        <w:t xml:space="preserve">Zitiervorschlag: Art 2 NW_30759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https://recht.nulegal.eu/gesetze/NW_30759/2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