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NW_30759 (Nordrhein-Westfalen) — Mitgliedschaft</w:t>
      </w:r>
    </w:p>
    <w:p>
      <w:r>
        <w:rPr>
          <w:color w:val="555555"/>
          <w:sz w:val="18"/>
        </w:rPr>
        <w:t xml:space="preserve">Bekanntmachung des Staatsvertrages zwischen dem Land Nordrhein-Westfalen und dem Freistaat Bayern über die Zugehörigkeit der Mitglieder der Patentanwaltskammer, die ihren Kanzleisitz in Nordrhein-Westfalen eingerichtet haben, zur Bayerischen Rechtsanwalts- und Steuerberaterversorgung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nicht berufsunfähigen Mitglieder der Patentanwaltskammer sind, soweit sie natürliche Personen sind und solange sie ihren Kanzleisitz in Nordrhein-Westfalen eingerichtet haben, Pflichtmitglieder der Bayerischen Rechtsanwalts- und Steuerberaterversorgung (Versorgungswerk), sofern die Satzung des Versorgungswerks keine abweichende Regelung trifft.</w:t>
      </w:r>
    </w:p>
    <w:p>
      <w:r>
        <w:rPr>
          <w:color w:val="555555"/>
          <w:sz w:val="17"/>
        </w:rPr>
        <w:t xml:space="preserve">Zitiervorschlag: Art 1 NW_30759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https://recht.nulegal.eu/gesetze/NW_30759/1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