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NW_30749 (Nordrhein-Westfalen) — Inkrafttreten, Berichtspflicht</w:t>
      </w:r>
    </w:p>
    <w:p>
      <w:r>
        <w:rPr>
          <w:color w:val="555555"/>
          <w:sz w:val="18"/>
        </w:rPr>
        <w:t xml:space="preserve">Gesetz über die Stiftung „Leibniz-Institut zur Analyse des Biodiversitätswandels“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1. Januar 2013 in Kraft.</w:t>
      </w:r>
    </w:p>
    <w:p>
      <w:r>
        <w:t xml:space="preserve">(2) Die Landesregierung berichtet dem Landtag bis zum 31. Dezember 2027 und danach alle fünf Jahre über die Notwendigkeit des Fortbestehens des Gesetzes.</w:t>
      </w:r>
    </w:p>
    <w:p>
      <w:r>
        <w:rPr>
          <w:color w:val="555555"/>
          <w:sz w:val="17"/>
        </w:rPr>
        <w:t xml:space="preserve">Zitiervorschlag: § 13 NW_30749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https://recht.nulegal.eu/gesetze/NW_30749/13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