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NW_30749 (Nordrhein-Westfalen) — Auflösung der Stiftung</w:t>
      </w:r>
    </w:p>
    <w:p>
      <w:r>
        <w:rPr>
          <w:color w:val="555555"/>
          <w:sz w:val="18"/>
        </w:rPr>
        <w:t xml:space="preserve">Gesetz über die Stiftung „Leibniz-Institut zur Analyse des Biodiversitätswandels“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Auflösung der Stiftung ist nur durch Gesetz möglich. Für den Fall der Auflösung der Stiftung werden die nach § 11 dieses Gesetzes übergeleiteten Arbeitnehmerinnen und Arbeitnehmer auf Antrag wieder in den Dienst des Landes Nordrhein-Westfalen übernommen.</w:t>
      </w:r>
    </w:p>
    <w:p>
      <w:r>
        <w:t xml:space="preserve">(2) Bei Auflösung der Stiftung fällt das Stiftungsvermögen an das Land Nordrhein-Westfalen, das es unmittelbar und ausschließlich für wissenschaftliche Zwecke zu verwenden hat, soweit nicht durch Staatsvertrag zwischen dem Land Nordrhein-Westfalen und der Freien und Hansestadt Hamburg etwas Anderes geregelt ist.</w:t>
      </w:r>
    </w:p>
    <w:p>
      <w:r>
        <w:rPr>
          <w:color w:val="555555"/>
          <w:sz w:val="17"/>
        </w:rPr>
        <w:t xml:space="preserve">Zitiervorschlag: § 12 NW_30749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https://recht.nulegal.eu/gesetze/NW_30749/12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