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NW_30729 (Nordrhein-Westfalen)</w:t>
      </w:r>
    </w:p>
    <w:p>
      <w:r>
        <w:rPr>
          <w:color w:val="555555"/>
          <w:sz w:val="18"/>
        </w:rPr>
        <w:t xml:space="preserve">VOBASOF</w:t>
      </w:r>
    </w:p>
    <w:p>
      <w:r>
        <w:rPr>
          <w:color w:val="555555"/>
          <w:sz w:val="18"/>
        </w:rPr>
        <w:t xml:space="preserve">Landesrecht Nordrhein-Westfalen</w:t>
      </w:r>
    </w:p>
    <w:p>
      <w:r>
        <w:rPr>
          <w:color w:val="555555"/>
          <w:sz w:val="18"/>
        </w:rPr>
        <w:t xml:space="preserve">Stand: 02.09.2026 (konsolidierte Textfassung, kein amtliches Inkrafttretensdatum)</w:t>
      </w:r>
    </w:p>
    <w:p>
      <w:r>
        <w:t xml:space="preserve">Vom 20. Dezember 2012</w:t>
      </w:r>
    </w:p>
    <w:p>
      <w:r>
        <w:t xml:space="preserve">Auf Grund des § 20 Absatz 10 des Lehrerausbildungsgesetzes vom 12. Mai 2009 (GV. NRW. S. 308), geändert durch Artikel 3 des Gesetzes vom 13. November 2012 (GV. NRW. S. 514), verordnet das Ministerium für Schule und Weiterbildung im Einvernehmen mit dem für Inneres zuständigen Ministerium sowie mit dem für Finanzen zuständigen Ministerium:</w:t>
      </w:r>
    </w:p>
    <w:p>
      <w:r>
        <w:rPr>
          <w:color w:val="555555"/>
          <w:sz w:val="17"/>
        </w:rPr>
        <w:t xml:space="preserve">Zitiervorschlag: Eingangsformel NW_30729 (Nordrhein-Westfalen)</w:t>
      </w:r>
    </w:p>
    <w:p>
      <w:r>
        <w:rPr>
          <w:color w:val="555555"/>
          <w:sz w:val="17"/>
        </w:rPr>
        <w:t xml:space="preserve">Quelle: nrwrecht, abgerufen 02.09.2026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https://recht.nulegal.eu/gesetze/NW_30729/eingangsformel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