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NW_30729 (Nordrhein-Westfalen) — Übergangsvorschrift</w:t>
      </w:r>
    </w:p>
    <w:p>
      <w:r>
        <w:rPr>
          <w:color w:val="555555"/>
          <w:sz w:val="18"/>
        </w:rPr>
        <w:t xml:space="preserve">VOBASOF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Für Teilnehmerinnen und Teilnehmer, die sich vor dem Schuljahr 2026/2027 bereits in der Ausbildung befinden, ist diese Verordnung in der bis zum Ablauf des 31. August 2026 geltenden Fassung weiter anzuwenden.</w:t>
      </w:r>
    </w:p>
    <w:p>
      <w:r>
        <w:t xml:space="preserve">(2) Für Teilnehmerinnen und Teilnehmer, die ihre Ausbildung ab dem Schuljahr 2026/2027 aufnehmen, ist diese Verordnung in der ab dem 1. September 2026 geltenden Fassung anzuwenden.</w:t>
      </w:r>
    </w:p>
    <w:p>
      <w:r>
        <w:rPr>
          <w:color w:val="555555"/>
          <w:sz w:val="17"/>
        </w:rPr>
        <w:t xml:space="preserve">Zitiervorschlag: § 18 NW_30729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https://recht.nulegal.eu/gesetze/NW_30729/18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