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NW_30729 (Nordrhein-Westfalen) — Ersatzschulen</w:t>
      </w:r>
    </w:p>
    <w:p>
      <w:r>
        <w:rPr>
          <w:color w:val="555555"/>
          <w:sz w:val="18"/>
        </w:rPr>
        <w:t xml:space="preserve">VOBASOF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Ersatzschulen im Sinne des § 100 Absatz 2 bis 4 des Schulgesetzes NRW vom 15. Februar 2005 (GV. NRW. S. 102) in der jeweils geltenden Fassung können mit Zustimmung des Schulträgers Ausbildungsschulen sein.</w:t>
      </w:r>
    </w:p>
    <w:p>
      <w:r>
        <w:t xml:space="preserve">(2) Die Bezirksregierungen halten von den ihnen nach § 5 Absatz 1 und Absatz 2 zugewiesenen Ausbildungsplätzen einen angemessenen Anteil für Ersatzschulen bereit.</w:t>
      </w:r>
    </w:p>
    <w:p>
      <w:r>
        <w:t xml:space="preserve">(3) Eine etwaige Auswahlentscheidung unter mehreren Schulen oder Bewerberinnen und Bewerbern trifft der Schulträger. Die Bezirksregierungen können für deren Benennung unter Berücksichtigung der Frist nach§ 4 Absatz 1 Satz 1 eigene Fristen setzen. Der Schulträger hat im Rahmen dieser Fristen insbesondere die Ausbildungsvoraussetzungen nach § 2 nachzuweisen, sofern die Bezirksregierung dafür nicht besondere Fristen setzt.</w:t>
      </w:r>
    </w:p>
    <w:p>
      <w:r>
        <w:t xml:space="preserve">(4) Die Bezirksregierungen können nicht besetzbare Ausbildungsplätze Bewerberinnen und Bewerbern von öffentlichen Schulen zuweisen.</w:t>
      </w:r>
    </w:p>
    <w:p>
      <w:r>
        <w:t xml:space="preserve">(5) An die Stelle des Arbeitsverhältnisses zum Land Nordrhein-Westfalen im Sinne von § 2 Absatz 1 Nummer 2 und § 7 Absatz 1 tritt ein Arbeitsverhältnis mit dem Ersatzschulträger. Die Voraussetzungen für den Zugang zur Ausbildung nach § 2 können auch im Rahmen von Kooperationen zwischen genehmigten Ersatzschulen oder zwischen einer genehmigten Ersatzschule und einer öffentlichen Schule erfüllt werden. Im Übrigen gelten die Vorschriften dieser Verordnung.</w:t>
      </w:r>
    </w:p>
    <w:p>
      <w:r>
        <w:rPr>
          <w:color w:val="555555"/>
          <w:sz w:val="17"/>
        </w:rPr>
        <w:t xml:space="preserve">Zitiervorschlag: § 17 NW_30729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https://recht.nulegal.eu/gesetze/NW_30729/17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