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NW_30727 (Nordrhein-Westfalen) — Fachkundenachweis</w:t>
      </w:r>
    </w:p>
    <w:p>
      <w:r>
        <w:rPr>
          <w:color w:val="555555"/>
          <w:sz w:val="18"/>
        </w:rPr>
        <w:t xml:space="preserve">Mittelstandsförderungsgesetz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 einen Meistertitel gemäß §§ 51, 51b der Handwerksordnung in der Fassung der Bekanntmachung vom 24. September 1998 (BGBl. I S. 3074; 2006 I S. 2095), in der jeweils geltenden Fassung in dem für den öffentlichen Auftrag geforderten Gewerbe und Gewerk nachweist, ist grundsätzlich als fachkundig im Sinn der Vergabe- und Vertragsordnung für Bauleistungen (VOB) anzusehen.</w:t>
      </w:r>
    </w:p>
    <w:p>
      <w:r>
        <w:t xml:space="preserve">(2) Gleiches gilt - unabhängig von der Eintragung in die Handwerksrolle - für gleichwertige Abschlüsse nach § 7 Absatz 2 der Handwerksordnung.</w:t>
      </w:r>
    </w:p>
    <w:p>
      <w:r>
        <w:t xml:space="preserve">(3) Die Anforderungen des Präqualifizierungsverfahrens bleiben davon unberührt.</w:t>
      </w:r>
    </w:p>
    <w:p>
      <w:r>
        <w:rPr>
          <w:color w:val="555555"/>
          <w:sz w:val="17"/>
        </w:rPr>
        <w:t xml:space="preserve">Zitiervorschlag: § 19 NW_30727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https://recht.nulegal.eu/gesetze/NW_30727/19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