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NW_30727 (Nordrhein-Westfalen) — Finanzierung/Haushaltsvorbehalt</w:t>
      </w:r>
    </w:p>
    <w:p>
      <w:r>
        <w:rPr>
          <w:color w:val="555555"/>
          <w:sz w:val="18"/>
        </w:rPr>
        <w:t xml:space="preserve">Mittelstandsförderungsgesetz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Förderung sowohl materieller Art als auch in Form von Dienstleistungen steht grundsätzlich unter dem Vorbehalt der Bereitstellung von Haushaltsmitteln durch den Haushaltsgesetzgeber.</w:t>
      </w:r>
    </w:p>
    <w:p>
      <w:r>
        <w:t xml:space="preserve">(2) Förderprogramme sollen zeitlich befristet sein, sie unterliegen einer regelmäßigen Überprüfung ihrer Wirksamkeit.</w:t>
      </w:r>
    </w:p>
    <w:p>
      <w:r>
        <w:t xml:space="preserve">(3) Bei der Ausgestaltung der Förderbereiche, der Auswahl der Förderadressaten und der Förderinstrumente ist die Vereinbarkeit mit dem europäischen Beihilferecht zu beachten.</w:t>
      </w:r>
    </w:p>
    <w:p>
      <w:r>
        <w:t xml:space="preserve">(4) Dieses Gesetz begründet keine Rechtsansprüche auf eine Förderung.</w:t>
      </w:r>
    </w:p>
    <w:p>
      <w:r>
        <w:rPr>
          <w:color w:val="555555"/>
          <w:sz w:val="17"/>
        </w:rPr>
        <w:t xml:space="preserve">Zitiervorschlag: § 12 NW_30727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