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NW_30722 (Nordrhein-Westfalen) — Kosten</w:t>
      </w:r>
    </w:p>
    <w:p>
      <w:r>
        <w:rPr>
          <w:color w:val="555555"/>
          <w:sz w:val="18"/>
        </w:rPr>
        <w:t xml:space="preserve">Einleitungssatzung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durch die Zuleitung oder den Zustand der Zuleitungsanlage insbesondere in den Fällen des § 3 Absatz 2 besondere Kosten bei der Genossenschaft anfallen, sind diese nach den genossenschaftlichen Veranlagungsgrundsätzen im Sonderinteresse des Genossen zu erheben.</w:t>
      </w:r>
    </w:p>
    <w:p>
      <w:r>
        <w:t xml:space="preserve">(2) Ergibt die Prüfung im Sinne des § 4 dieser Satzung, dass die Anforderungen an die Zuleitung nicht eingehalten werden, hat der Genosse die Kosten für die Prüfung zu tragen.</w:t>
      </w:r>
    </w:p>
    <w:p>
      <w:r>
        <w:rPr>
          <w:color w:val="555555"/>
          <w:sz w:val="17"/>
        </w:rPr>
        <w:t xml:space="preserve">Zitiervorschlag: § 6 NW_30722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https://recht.nulegal.eu/gesetze/NW_30722/6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