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NW_30690 (Nordrhein-Westfalen) — Inkrafttreten, Außerkrafttreten, Berichtspflicht</w:t>
      </w:r>
    </w:p>
    <w:p>
      <w:r>
        <w:rPr>
          <w:color w:val="555555"/>
          <w:sz w:val="18"/>
        </w:rPr>
        <w:t xml:space="preserve">Bekanntmachung des Ersten Staatsvertrages zur Änderung des Staatsvertrages zum Glücksspielwesen in Deutschland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Erste Glücksspieländerungsstaatsvertrag tritt am 1. Juli 2012 in Kraft. Das Inkrafttreten ist durch das für Inneres zuständige Ministerium im Gesetz- und Verordnungsblatt für das Land Nordrhein-Westfalen bekannt zu geben.</w:t>
      </w:r>
    </w:p>
    <w:p>
      <w:r>
        <w:t xml:space="preserve">(2) Sollte der Erste Glücksspieländerungsstaatsvertrag nach seinem Artikel 2 gegenstandslos werden, gilt sein Inhalt ab dem 1. Juli 2012 in Nordrhein-Westfalen als nordrhein-westfälisches Landesrecht, mit Ausnahme der Zuständigkeiten zum ländereinheitlichen und gebündelten Verfahren nach dem Ersten Glücksspieländerungsstaatsvertrag, die für das Gebiet des Landes Nordrhein-Westfalen auf das Land übergehen. Dies ist durch das für Inneres zuständige Ministerium bis zum 1. September 2012 im Gesetz- und Verordnungsblatt für das Land Nordrhein-Westfalen bekannt zu geben.</w:t>
      </w:r>
    </w:p>
    <w:p>
      <w:r>
        <w:t xml:space="preserve">(3) Tritt der Erste Glücksspieländerungsstaatsvertrag nach Artikel 1 § 35 Absatz 2 Satz 1 mit Ablauf des 30. Juni 2021 außer Kraft, gilt sein Inhalt bis zu einer neuen landesrechtlichen Regelung in Nordrhein-Westfalen als nordrhein-westfälisches Landesrecht mit Ausnahme der Zuständigkeiten zum ländereinheitlichen und gebündelten Verfahren nach dem Ersten Glücksspieländerungsstaatsvertrag, die für das Gebiet des Landes Nordrhein-Westfalen auf das Land übergehen. Dies ist durch das für Inneres zuständige Ministerium bis zum 1. September 2021 im Gesetz und Verordnungsblatt für das Land Nordrhein-Westfalen bekannt zu geben.</w:t>
      </w:r>
    </w:p>
    <w:p>
      <w:r>
        <w:t xml:space="preserve">(4) Im Falle des Absatzes 2 berichtet die Landesregierung dem Landtag bis zum 31. Dezember 2013 und im Falle des Absatzes 3 bis zum 31. Dezember 2022 über die Notwendigkeit des Fortbestehens dieses Gesetzes.</w:t>
      </w:r>
    </w:p>
    <w:p>
      <w:r>
        <w:rPr>
          <w:color w:val="555555"/>
          <w:sz w:val="17"/>
        </w:rPr>
        <w:t xml:space="preserve">Zitiervorschlag: § 2 NW_30690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https://recht.nulegal.eu/gesetze/NW_30690/2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