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NW_30690 (Nordrhein-Westfalen) — Zustimmung</w:t>
      </w:r>
    </w:p>
    <w:p>
      <w:r>
        <w:rPr>
          <w:color w:val="555555"/>
          <w:sz w:val="18"/>
        </w:rPr>
        <w:t xml:space="preserve">Bekanntmachung des Ersten Staatsvertrages zur Änderung des Staatsvertrages zum Glücksspielwesen in Deutschland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Dem am 15. Dezember 2011 unterzeichneten Ersten Staatsvertrag zur Änderung des Staatsvertrages zum Glücksspielwesen in Deutschland (Erster Glücksspieländerungsstaatsvertrag) zwischen dem Land Baden-Württemberg, dem Freistaat Bayern, dem Land Berlin, dem Land Brandenburg, der Freien Hansestadt Bremen, der Freien und Hansestadt Hamburg, dem Land Hessen, dem Land Mecklenburg-Vorpommern, dem Land Niedersachsen, dem Land Nordrhein-Westfalen, dem Land Rheinland-Pfalz, dem Saarland, dem Freistaat Sachsen, dem Land Sachsen-Anhalt und dem Freistaat Thüringen wird zugestimmt. Der Erste Glücksspieländerungsstaatsvertrag wird nachstehend als Anlage 1 veröffentlicht.</w:t>
      </w:r>
    </w:p>
    <w:p>
      <w:r>
        <w:rPr>
          <w:color w:val="555555"/>
          <w:sz w:val="17"/>
        </w:rPr>
        <w:t xml:space="preserve">Zitiervorschlag: § 1 NW_30690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https://recht.nulegal.eu/gesetze/NW_30690/1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