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NW_30688 (Nordrhein-Westfalen)</w:t>
      </w:r>
    </w:p>
    <w:p>
      <w:r>
        <w:rPr>
          <w:color w:val="555555"/>
          <w:sz w:val="18"/>
        </w:rPr>
        <w:t xml:space="preserve">Verordnung zur Bestimmung des zentralen Vollstreckungsgerichts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November 2012</w:t>
      </w:r>
    </w:p>
    <w:p>
      <w:r>
        <w:t xml:space="preserve">Auf Grund der §§ 802k Absatz 3, 882h Absatz 2 der Zivilprozessordnung in der Fassung der Bekanntmachung vom 5. Dezember 2005 (BGBl. I S. 3202, 2006 S. 431, 2007 S. 1781), die durch Artikel 1 des Gesetzes vom 29. Juli 2009 (BGBl. I S. 2258) eingefügt worden sind, in Verbindung mit § 1 Absatz 2 des Justizgesetzes Nordrhein-Westfalen vom 26. Januar 2010 (GV. NRW. S. 30), wird verordnet:</w:t>
      </w:r>
    </w:p>
    <w:p>
      <w:r>
        <w:rPr>
          <w:color w:val="555555"/>
          <w:sz w:val="17"/>
        </w:rPr>
        <w:t xml:space="preserve">Zitiervorschlag: Volltext NW_30688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https://recht.nulegal.eu/gesetze/NW_30688/volltext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NW_30688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