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NW_30681 (Nordrhein-Westfalen) — Vorsitz, Geschäftsstelle, Geschäftsordnung</w:t>
      </w:r>
    </w:p>
    <w:p>
      <w:r>
        <w:rPr>
          <w:color w:val="555555"/>
          <w:sz w:val="18"/>
        </w:rPr>
        <w:t xml:space="preserve">LandesbeiratsVO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für Vertriebenen- und Aussiedlerfragen zuständige Ministerium benennt die Vorsitzende oder den Vorsitzenden des Landesbeirats.</w:t>
      </w:r>
    </w:p>
    <w:p>
      <w:r>
        <w:t xml:space="preserve">(2) Eine Geschäftsstelle des Landesbeirats wird bei dem für Vertriebenen- und Aussiedlerfragen zuständigen Ministerium eingerichtet.</w:t>
      </w:r>
    </w:p>
    <w:p>
      <w:r>
        <w:t xml:space="preserve">(3) Der Landesbeirat gibt sich eine Geschäftsordnung, die der Genehmigung des für Vertriebenen- und Aussiedlerfragen zuständigen Ministeriums bedarf.</w:t>
      </w:r>
    </w:p>
    <w:p>
      <w:r>
        <w:rPr>
          <w:color w:val="555555"/>
          <w:sz w:val="17"/>
        </w:rPr>
        <w:t xml:space="preserve">Zitiervorschlag: § 4 NW_30681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https://recht.nulegal.eu/gesetze/NW_30681/4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