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NW_30664 (Nordrhein-Westfalen) — Inkrafttreten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ihrer Bekanntmachung in Kraft. Gleichzeitig tritt die Satzung über den Ersatz von Aufwendungen für die Mitglieder der Medienkommission der Landesanstalt für Medien Nordrhein-Westfalen (LfM) vom 31. Januar 2007 (GV. NRW. S. 102) außer Kraft.</w:t>
      </w:r>
    </w:p>
    <w:p>
      <w:r>
        <w:t xml:space="preserve">Düsseldorf, den 29. Juni 2012</w:t>
      </w:r>
    </w:p>
    <w:p>
      <w:r>
        <w:t xml:space="preserve">Der Direktor</w:t>
      </w:r>
    </w:p>
    <w:p>
      <w:r>
        <w:t xml:space="preserve">der Landesanstalt für Medien</w:t>
      </w:r>
    </w:p>
    <w:p>
      <w:r>
        <w:t xml:space="preserve">Nordrhein-Westfalen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9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