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NW_30664 (Nordrhein-Westfalen) — Nebenkostenerstattung</w:t>
      </w:r>
    </w:p>
    <w:p>
      <w:r>
        <w:rPr>
          <w:color w:val="555555"/>
          <w:sz w:val="18"/>
        </w:rPr>
        <w:t xml:space="preserve">Satzung über den Ersatz von Aufwendungen für die Mitglieder der Medienkommission der Landesanstalt für Medien Nordrhein-Westfalen (LfM) Vom 29. Juni 2012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Sonstige im Zusammenhang mit Reisen im Sinne dieser Satzung entstehende notwendige Auslagen, die nicht nach den §§ 3 bis 5 zu erstatten sind, werden auf Nachweis entsprechend den Bestimmungen des Landesreisekostengesetzes NRW erstattet.</w:t>
      </w:r>
    </w:p>
    <w:p>
      <w:r>
        <w:rPr>
          <w:color w:val="555555"/>
          <w:sz w:val="17"/>
        </w:rPr>
        <w:t xml:space="preserve">Zitiervorschlag: § 6 NW_30664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https://recht.nulegal.eu/gesetze/NW_30664/6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