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NW_30662 (Nordrhein-Westfalen) — Zweck der Anstalt</w:t>
      </w:r>
    </w:p>
    <w:p>
      <w:r>
        <w:rPr>
          <w:color w:val="555555"/>
          <w:sz w:val="18"/>
        </w:rPr>
        <w:t xml:space="preserve">GKL-StV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Aufgabe der Anstalt ist die Wahrnehmung der ordnungsrechtlichen Aufgabe der Sicherstellung eines ausreichenden Glücksspielangebotes durch Veranstaltung von staatlichen Klassenlotterien und ähnlichen Spielangeboten (Glücksspiele).</w:t>
      </w:r>
    </w:p>
    <w:p>
      <w:r>
        <w:t xml:space="preserve">(2) Die Anstalt darf sich an anderen Unternehmen beteiligen oder mit solchen kooperieren, soweit es der Erfüllung ihrer Aufgaben aus diesem Vertrag dient.</w:t>
      </w:r>
    </w:p>
    <w:p>
      <w:r>
        <w:rPr>
          <w:color w:val="555555"/>
          <w:sz w:val="17"/>
        </w:rPr>
        <w:t xml:space="preserve">Zitiervorschlag: § 2 NW_30662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https://recht.nulegal.eu/gesetze/NW_30662/2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