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NW_30662 (Nordrhein-Westfalen) — Besondere Regelungen</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Lotteriesteuerverteilung für die Glückspiele, die vor Inkrafttreten dieses Staatsvertrages von einer Altanstalt veranstaltet wurden, richtet sich bis einschließlich Geschäftsjahr 2014 nach der Regelung im Staatsvertrag dieser Altanstalt (§ 11 NKL-StV; Artikel 8 SKL-StV).</w:t>
      </w:r>
    </w:p>
    <w:p>
      <w:r>
        <w:t xml:space="preserve">(2) Lotterien nach Absatz 1 werden wie bisher von Lotterie-Einnehmern und Verkaufsstellen vertrieben. Die bisherigen Lotterie-Einnehmer der NKL werden mit Ablauf des 30. Juni 2012 Lotterie-Einnehmer der Anstalt für den Vertrieb von Lotterien, die vor lnkrafttreten dieses Staatsvertrages von der NKL veranstaltet worden sind. Die dazu mit der NKL vereinbarten Vertriebsverträge und die den Lotterie-Einnehmern erteilten glücksspielrechtlichen Erlaubnisse gelten fort. Die Sätze 2 und 3 gelten für die Staatlichen Lotterie-Einnehmer und Amtlichen Verkaufsstellen der SKL entsprechend.</w:t>
      </w:r>
    </w:p>
    <w:p>
      <w:r>
        <w:rPr>
          <w:color w:val="555555"/>
          <w:sz w:val="17"/>
        </w:rPr>
        <w:t xml:space="preserve">Zitiervorschlag: § 17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