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NW_30662 (Nordrhein-Westfalen) — Grundkapital</w:t>
      </w:r>
    </w:p>
    <w:p>
      <w:r>
        <w:rPr>
          <w:color w:val="555555"/>
          <w:sz w:val="18"/>
        </w:rPr>
        <w:t xml:space="preserve">GKL-StV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Anstalt wird mit einem Grundkapital von 2 Millionen Euro ausgestattet. Die Vertragsländer leisten die Einlagen auf das Grundkapital durch Sacheinlage des Vermögens der Altanstalten gemäß § 12 Absatz 1.</w:t>
      </w:r>
    </w:p>
    <w:p>
      <w:r>
        <w:rPr>
          <w:color w:val="555555"/>
          <w:sz w:val="17"/>
        </w:rPr>
        <w:t xml:space="preserve">Zitiervorschlag: § 14 NW_30662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https://recht.nulegal.eu/gesetze/NW_30662/14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