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NW_30654 (Nordrhein-Westfalen) — Einkommensnachweis, Mitteilungspflichten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Zahlungspflichtigen nach § 5 dieser Satzung sind verpflichtet, bei Aufnahme und danach auf Verlangen ihr maßgebliches Einkommen bzw. das Vorliegen von Befreiungstatbeständen nachzuweisen. Dazu reichen sie den Einkommensteuerbescheid beim Landschaftsverband Westfalen-Lippe als Schulträger ein. Ohne Angabe zur Einkommenshöhe oder Vorlage des geforderten Nachweises bzw. bei nicht glaubhaftem Einkommen ist der Betrag nach der höchsten Einkommensstufe zu zahlen.</w:t>
      </w:r>
    </w:p>
    <w:p>
      <w:r>
        <w:t xml:space="preserve">(2) Die Eltern bzw. die in § 5 genannten Personen sind verpflichtet, alle Veränderungen in den wirtschaftlichen und persönlichen Verhältnissen, die für die Bemessung des Elternbeitrages maßgeblich sind, dem Landschaftsverband Westfalen-Lippe als Schulträger unverzüglich mitzuteilen.</w:t>
      </w:r>
    </w:p>
    <w:p>
      <w:r>
        <w:rPr>
          <w:color w:val="555555"/>
          <w:sz w:val="17"/>
        </w:rPr>
        <w:t xml:space="preserve">Zitiervorschlag: § 9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