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NW_30654 (Nordrhein-Westfalen) — Verfahren</w:t>
      </w:r>
    </w:p>
    <w:p>
      <w:r>
        <w:rPr>
          <w:color w:val="555555"/>
          <w:sz w:val="18"/>
        </w:rPr>
        <w:t xml:space="preserve">Satzung über die Erhebung von Elternbeiträgen für außerunterrichtliche Angebote im Rahmen der Offenen Ganztagsschule (OGS) an den LWL-Förderschulen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Zwecke der Erhebung der Elternbeiträge nach dieser Satzung teilen die jeweils eingesetzten Träger der OGS dem Landschaftsverband Westfalen-Lippe als Schulträger die Namen und Anschriften der Eltern bzw. der Personen, die nach § 5 an die Stelle der Eltern treten, unverzüglich mit.</w:t>
      </w:r>
    </w:p>
    <w:p>
      <w:r>
        <w:rPr>
          <w:color w:val="555555"/>
          <w:sz w:val="17"/>
        </w:rPr>
        <w:t xml:space="preserve">Zitiervorschlag: § 13 NW_30654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https://recht.nulegal.eu/gesetze/NW_30654/13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