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NW_30616 (Nordrhein-Westfalen)</w:t>
      </w:r>
    </w:p>
    <w:p>
      <w:r>
        <w:rPr>
          <w:color w:val="555555"/>
          <w:sz w:val="18"/>
        </w:rPr>
        <w:t xml:space="preserve">HygMedVO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die Hygiene und Infektionsprävention</w:t>
      </w:r>
    </w:p>
    <w:p>
      <w:r>
        <w:t xml:space="preserve">in medizinischen Einrichtungen (HygMedVO)</w:t>
      </w:r>
    </w:p>
    <w:p>
      <w:r>
        <w:t xml:space="preserve">Vom 13. März 2012</w:t>
      </w:r>
    </w:p>
    <w:p>
      <w:r>
        <w:t xml:space="preserve">Auf Grund § 23 Absatz 5 und Absatz 8 des Infektionsschutzgesetzes vom 20. Juli 2000 (BGBl. I S. 1045), zuletzt geändert durch Artikel 1 des Gesetzes vom 28. Juli 2011 (BGBl. I S. 1622), wird verordnet:</w:t>
      </w:r>
    </w:p>
    <w:p>
      <w:r>
        <w:rPr>
          <w:color w:val="555555"/>
          <w:sz w:val="17"/>
        </w:rPr>
        <w:t xml:space="preserve">Zitiervorschlag: Volltext NW_30616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https://recht.nulegal.eu/gesetze/NW_30616/volltext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