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NW_30616 (Nordrhein-Westfalen) — Ordnungswidrigkeiten</w:t>
      </w:r>
    </w:p>
    <w:p>
      <w:r>
        <w:rPr>
          <w:color w:val="555555"/>
          <w:sz w:val="18"/>
        </w:rPr>
        <w:t xml:space="preserve">HygMedVO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73 Absatz 1 Nummer 24 Infektionsschutzgesetz handelt, wer vorsätzlich oder fahrlässig</w:t>
      </w:r>
    </w:p>
    <w:p>
      <w:r>
        <w:t xml:space="preserve">1. entgegen § 2 Absatz 1 Satz 1 die betrieblich-organisatorischen oder die baulich-funktionellen Voraussetzungen für die Einhaltung der Grundsätze der Hygiene nicht sicher stellt oder nicht für die Durchführung der notwendigen hygienischen Maßnahmen sorgt,</w:t>
      </w:r>
    </w:p>
    <w:p>
      <w:r>
        <w:t xml:space="preserve">2. entgegen § 2 Absatz 1 Satz 2 Nummer 6 die unverzügliche Information nicht sicherstellt,</w:t>
      </w:r>
    </w:p>
    <w:p>
      <w:r>
        <w:t xml:space="preserve">3. entgegen § 4 Absatz 4 nicht die erforderliche Zahl an Hygienefachkräften beschäftigt,</w:t>
      </w:r>
    </w:p>
    <w:p>
      <w:r>
        <w:t xml:space="preserve">4. entgegen § 7 das in der Einrichtung tätige Personal nicht bei Beginn des Arbeitsverhältnisses und danach in regelmäßigen Abständen, mindestens jedoch einmal jährlich, über die in den Hygieneplänen nach § 23 Absatz 5 und 8 Infektionsschutzgesetz festgelegten innerbetrieblichen Verfahrensweisen zur Infektionshygiene informiert oder dies nicht in geeigneter Weise dokumentiert.</w:t>
      </w:r>
    </w:p>
    <w:p>
      <w:r>
        <w:t xml:space="preserve">(2) Die Ordnungswidrigkeit kann mit einer Geldbuße bis zu 25.000 Euro geahndet werden. Zuständige Verwaltungsbehörden im Sinne des § 36 Absatz 1 Nummer 1 des Gesetzes über Ordnungswidrigkeiten sind die unteren Gesundheitsbehörden.</w:t>
      </w:r>
    </w:p>
    <w:p>
      <w:r>
        <w:rPr>
          <w:color w:val="555555"/>
          <w:sz w:val="17"/>
        </w:rPr>
        <w:t xml:space="preserve">Zitiervorschlag: § 9 NW_30616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