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NW_30616 (Nordrhein-Westfalen) — Hygienefachkräfte</w:t>
      </w:r>
    </w:p>
    <w:p>
      <w:r>
        <w:rPr>
          <w:color w:val="555555"/>
          <w:sz w:val="18"/>
        </w:rPr>
        <w:t xml:space="preserve">HygMedVO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Hygienefachkräfte im Sinne dieser Verordnung sind Hygienefachschwestern/Hygienefachpfleger, die an einer qualifizierten, staatlich anerkannten Weiterbildung zur Hygienefachkraft mit Erfolg teilgenommen haben.</w:t>
      </w:r>
    </w:p>
    <w:p>
      <w:r>
        <w:t xml:space="preserve">(2) Die Hygienefachkräfte üben ihre Aufgaben in Abstimmung und im Einvernehmen mit der Krankenhaushygienikerin / dem Krankenhaushygieniker aus.</w:t>
      </w:r>
    </w:p>
    <w:p>
      <w:r>
        <w:t xml:space="preserve">(3) Die Hygienefachkräfte haben insbesondere</w:t>
      </w:r>
    </w:p>
    <w:p>
      <w:r>
        <w:t xml:space="preserve">1. mit den Hygienebeauftragten bei der Überwachung der Hygiene und hygienischen Maßnahmen zusammenzuarbeiten,</w:t>
      </w:r>
    </w:p>
    <w:p>
      <w:r>
        <w:t xml:space="preserve">2. die Surveillance von nosokomialen Infektionen sowie von multiresistenten Erregern und anderen besonderen Erregern gemäß § 23 Infektionsschutzgesetz in Zusammenarbeit mit den Hygienebeauftragten und der Krankenhaushygienikerin / dem Krankenhaushygieniker durchzuführen,</w:t>
      </w:r>
    </w:p>
    <w:p>
      <w:r>
        <w:t xml:space="preserve">3. die Stationen und die sonstigen pflegerischen, diagnostischen, therapeutischen, ver- und entsorgungstechnischen Bereiche sowohl regelmäßig als auch anlassbezogen zu besichtigen,</w:t>
      </w:r>
    </w:p>
    <w:p>
      <w:r>
        <w:t xml:space="preserve">4. das ärztliche Personal, das Pflegepersonal und die Leitung des Wirtschafts- und Verwaltungsdienstes der entsprechenden Bereiche über Verdachtsfälle zu unterrichten,</w:t>
      </w:r>
    </w:p>
    <w:p>
      <w:r>
        <w:t xml:space="preserve">5. die Mitarbeiterinnen/Mitarbeiter über angeordnete Hygienemaßnahmen und deren Gründe zu unterrichten,</w:t>
      </w:r>
    </w:p>
    <w:p>
      <w:r>
        <w:t xml:space="preserve">6. die Hygiene-, Desinfektions- und Desinsektionsmaßnahmen zu überwachen,</w:t>
      </w:r>
    </w:p>
    <w:p>
      <w:r>
        <w:t xml:space="preserve">7. Arbeitspläne für pflegetechnische Maßnahmen nach hygienischen Gesichtspunkten zu erstellen und deren Einhaltung zu überwachen,</w:t>
      </w:r>
    </w:p>
    <w:p>
      <w:r>
        <w:t xml:space="preserve">8. bei epidemiologischen Untersuchungen mitzuwirken,</w:t>
      </w:r>
    </w:p>
    <w:p>
      <w:r>
        <w:t xml:space="preserve">9. mit dem öffentlichen Gesundheitsdienst zu kooperieren,</w:t>
      </w:r>
    </w:p>
    <w:p>
      <w:r>
        <w:t xml:space="preserve">10. bei der Fachaufsicht über die Sterilisations- und Desinfektionsgeräte, über die Bettenaufbereitung sowie über die Reinigung der Einrichtung mitzuwirken,</w:t>
      </w:r>
    </w:p>
    <w:p>
      <w:r>
        <w:t xml:space="preserve">11. die Analyse und Bewertung mikrobiologischer und anderer Befunde von Infektionen und anderer gesundheitsgefährdender Gegebenheiten bei Patientinnen/Patienten und deren Umgebung insbesondere aufgrund von Untersuchungen an Patientinnen/Patienten, Personal, Luft, Wasser, Klimaanlagen und Gegenständen auf mögliche Gesundheitsgefährdungen zu unterstützen,</w:t>
      </w:r>
    </w:p>
    <w:p>
      <w:r>
        <w:t xml:space="preserve">12. in Zusammenarbeit mit den hygienebeauftragten Ärztinnen/Ärzten und der Krankenhaushygienikerin/dem Krankenhaushygieniker Infektionsketten und Infektionsursachen zu erforschen sowie die Gegenmaßnahmen einzuleiten und</w:t>
      </w:r>
    </w:p>
    <w:p>
      <w:r>
        <w:t xml:space="preserve">13. Fortbildungen für das Personal der Einrichtung durchzuführen.</w:t>
      </w:r>
    </w:p>
    <w:p>
      <w:r>
        <w:t xml:space="preserve">(4) Die Mindestzahl der Hygienefachkräfte, die eine Einrichtung beschäftigen muss, ergibt sich aus der Anwendung der Empfehlung der Kommission für Krankenhaushygiene und Infektionsprävention: „Personelle und organisatorische Voraussetzungen zur Prävention nosokomialer Infektionen“ in der jeweils geltenden durch das Robert Koch-Institut veröffentlichten Fassung. Diese Bestimmungen gelten entsprechend, wenn Zusammenschlüsse von Einrichtungen nach § 1 Absatz 1 einrichtungsübergreifend Hygienefachkräfte beschäftigen.</w:t>
      </w:r>
    </w:p>
    <w:p>
      <w:r>
        <w:t xml:space="preserve">(5) Krankenhäuser nach § 3 Nummer 2 Krankenhausfinanzierungsgesetz, Fachkrankenhäuser für Suchtkrankheiten, Vorsorge- sowie Rehabilitationseinrichtungen sind insoweit stationären Einrichtungen der Psychiatrie gleichzusetzen.</w:t>
      </w:r>
    </w:p>
    <w:p>
      <w:r>
        <w:rPr>
          <w:color w:val="555555"/>
          <w:sz w:val="17"/>
        </w:rPr>
        <w:t xml:space="preserve">Zitiervorschlag: § 4 NW_30616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https://recht.nulegal.eu/gesetze/NW_30616/4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