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NW_30614 (Nordrhein-Westfalen) — Nachbefüllung der Ersten Abwicklungsanstalt</w:t>
      </w:r>
    </w:p>
    <w:p>
      <w:r>
        <w:rPr>
          <w:color w:val="555555"/>
          <w:sz w:val="18"/>
        </w:rPr>
        <w:t xml:space="preserve">Gesetz zur Restrukturierung der WestLB 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Landtag Nordrhein-Westfalen stimmt einer Nachbefüllung der Ersten Abwicklungsanstalt nach § 8a Finanzmarktstabilisierungsfondsgesetz vom 17. Oktober 2008 (BGBl. I S. 1982), zuletzt geändert durch Artikel 1 des Gesetzes vom 24. Februar 2012 (BGBl. I S. 206), mit allen nichtstrategienotwendigen Geschäftsbereichen und Risikopositionen der WestLB AG oder ihrer Tochtergesellschaften in Ansehung der damit verbundenen Risikoerhöhung zu. Die vom Land Nordrhein-Westfalen gegenüber der Ersten Abwicklungsanstalt übernommene Garantie und Verlustausgleichspflicht nach § 20 Absatz 8 Satz 3 Haushaltsgesetz 2009 vom 17. Februar 2009 (GV. NRW. S.64), zuletzt geändert durch Artikel 1 des Gesetzes vom 4. Dezember 2009 (GV. NRW. S.656), gelten auch für die Nachbefüllung nach Satz 1.</w:t>
      </w:r>
    </w:p>
    <w:p>
      <w:r>
        <w:t xml:space="preserve">(2) Das Finanzministerium des Landes Nordrhein-Westfalen wird ermächtigt, die vom Land Nordrhein-Westfalen gegenüber der Ersten Abwicklungsanstalt bis zu einem Höchstbetrag in Höhe von 482 Millionen Euro übernommene Garantie für erwartete Verluste nach § 20 Absatz 8 Satz 3 Haushaltsgesetz 2009 vom 17. Februar 2009 (GV. NRW. S.64), zuletzt geändert durch Artikel 1 des Gesetzes vom 4. Dezember 2009 (GV. NRW. S.656), in Höhe von 72,5 Millionen Euro in eine Eigenkapitalgarantie für die Erste Abwicklungsanstalt umzuwandeln.</w:t>
      </w:r>
    </w:p>
    <w:p>
      <w:r>
        <w:rPr>
          <w:color w:val="555555"/>
          <w:sz w:val="17"/>
        </w:rPr>
        <w:t xml:space="preserve">Zitiervorschlag: § 2 NW_30614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https://recht.nulegal.eu/gesetze/NW_30614/2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