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NW_30614 (Nordrhein-Westfalen) — Kapitalmaßnahme bei der WestLB AG</w:t>
      </w:r>
    </w:p>
    <w:p>
      <w:r>
        <w:rPr>
          <w:color w:val="555555"/>
          <w:sz w:val="18"/>
        </w:rPr>
        <w:t xml:space="preserve">Gesetz zur Restrukturierung der WestLB 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WestLB AG erhält in Erfüllung der Eckpunktevereinbarung vom 29. Juni 2011 vom Land Nordrhein-Westfalen eine Milliarde Euro im Wege einer Erhöhung ihres Grundkapitals oder als stille Einlage bis zum 30. Juni 2012. Alternativ kann das Finanzministerium des Landes Nordrhein-Westfalen vom Finanzmarktstabilisierungsfonds eine Milliarde Euro von dessen stiller Einlage in der WestLB AG übernehmen.</w:t>
      </w:r>
    </w:p>
    <w:p>
      <w:r>
        <w:rPr>
          <w:color w:val="555555"/>
          <w:sz w:val="17"/>
        </w:rPr>
        <w:t xml:space="preserve">Zitiervorschlag: § 1 NW_30614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https://recht.nulegal.eu/gesetze/NW_30614/1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