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NW_30613 (Nordrhein-Westfalen)</w:t>
      </w:r>
    </w:p>
    <w:p>
      <w:r>
        <w:rPr>
          <w:color w:val="555555"/>
          <w:sz w:val="18"/>
        </w:rPr>
        <w:t xml:space="preserve">GKL-StV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Gesetz</w:t>
      </w:r>
    </w:p>
    <w:p>
      <w:r>
        <w:t xml:space="preserve">zum Staatsvertrag über die Gründung der GKL</w:t>
      </w:r>
    </w:p>
    <w:p>
      <w:r>
        <w:t xml:space="preserve">Gemeinsame Klassenlotterie der Länder (GKL-StV)</w:t>
      </w:r>
    </w:p>
    <w:p>
      <w:r>
        <w:t xml:space="preserve">Vom 21. Juni 2012</w:t>
      </w:r>
    </w:p>
    <w:p>
      <w:r>
        <w:rPr>
          <w:color w:val="555555"/>
          <w:sz w:val="17"/>
        </w:rPr>
        <w:t xml:space="preserve">Zitiervorschlag: Volltext NW_30613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https://recht.nulegal.eu/gesetze/NW_30613/volltext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